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0" w:name="OLE_LINK283"/>
      <w:r>
        <w:rPr>
          <w:rFonts w:ascii="Arial" w:hAnsi="Arial" w:cs="Arial"/>
          <w:b/>
          <w:bCs/>
          <w:lang w:val="en-US" w:eastAsia="en-US"/>
        </w:rPr>
        <w:t>3GPP TSG-RAN WG2 Meeting #109bis</w:t>
      </w:r>
      <w:r>
        <w:rPr>
          <w:rFonts w:ascii="Arial" w:hAnsi="Arial" w:cs="Arial"/>
          <w:b/>
          <w:bCs/>
          <w:lang w:val="en-US" w:eastAsia="en-US"/>
        </w:rPr>
        <w:tab/>
      </w:r>
      <w:r>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hint="default" w:ascii="Arial" w:hAnsi="Arial" w:cs="Arial"/>
          <w:b/>
          <w:bCs/>
          <w:szCs w:val="22"/>
          <w:lang w:val="en-US" w:eastAsia="zh-CN"/>
        </w:rPr>
        <w:t>R2-2002772</w:t>
      </w:r>
    </w:p>
    <w:bookmarkEnd w:id="0"/>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E-Meeting, 20th Apr – 30th Apr, 2020</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bookmarkStart w:id="3" w:name="_GoBack"/>
      <w:bookmarkEnd w:id="3"/>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UE report of the reference time interest</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6.7.2.1</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1" w:name="_Ref165266342"/>
      <w:r>
        <w:t>Introduction</w:t>
      </w:r>
      <w:bookmarkEnd w:id="1"/>
    </w:p>
    <w:p>
      <w:r>
        <w:t>In the RAN2#109e meeting, RAN2 discussed the issue on whether the UE should report its interest of the reference time information. One remaining issue is to discuss whether the UE in CONNECTED can request SIB9 (which includes the reference time information) using the on-demand SI request. In this contribution, we provide our understandings on how the UE’s interest of the reference time information can be reported to the network via the on-demand SI procedure.</w:t>
      </w:r>
    </w:p>
    <w:p>
      <w:pPr>
        <w:pStyle w:val="2"/>
        <w:jc w:val="left"/>
      </w:pPr>
      <w:r>
        <w:rPr>
          <w:rFonts w:hint="eastAsia"/>
        </w:rPr>
        <w:t>Discussion</w:t>
      </w:r>
    </w:p>
    <w:p>
      <w:pPr>
        <w:pStyle w:val="3"/>
        <w:keepLines w:val="0"/>
        <w:tabs>
          <w:tab w:val="left" w:pos="576"/>
        </w:tabs>
        <w:spacing w:line="240" w:lineRule="auto"/>
        <w:ind w:left="0" w:firstLine="0"/>
        <w:jc w:val="left"/>
      </w:pPr>
      <w:r>
        <w:rPr>
          <w:bCs/>
          <w:szCs w:val="22"/>
        </w:rPr>
        <w:t>Reference time request</w:t>
      </w:r>
    </w:p>
    <w:p>
      <w:r>
        <w:rPr>
          <w:lang w:eastAsia="zh-CN"/>
        </w:rPr>
        <w:t>According to the LS from SA2 [3], companies have different understandings on whether the gNB knows the UE’s interest of the reference time information based on the TSCAI (TSC Assistance information) provided from the CN, as SA2 states that “</w:t>
      </w:r>
      <w:r>
        <w:t>there is no need to send any additional information to NG-RAN to determine the need for reference time delivery</w:t>
      </w:r>
      <w:r>
        <w:rPr>
          <w:lang w:eastAsia="zh-CN"/>
        </w:rPr>
        <w:t xml:space="preserve">”. From our understanding, the request of the SIB9 is not only used for the TSC UE. For example, according to the RRC CR [4] for the IIOT WI, the SIB9 includes not only the </w:t>
      </w:r>
      <w:r>
        <w:rPr>
          <w:i/>
        </w:rPr>
        <w:t>referenceTimeInfo</w:t>
      </w:r>
      <w:r>
        <w:rPr>
          <w:lang w:eastAsia="zh-CN"/>
        </w:rPr>
        <w:t xml:space="preserve"> (for the TSC UE) but also the legacy </w:t>
      </w:r>
      <w:r>
        <w:rPr>
          <w:i/>
        </w:rPr>
        <w:t>timeInfo</w:t>
      </w:r>
      <w:r>
        <w:t xml:space="preserve"> (for the non-TSC UE). Then the non-TSC UE should be able to request the SIB9 for the </w:t>
      </w:r>
      <w:r>
        <w:rPr>
          <w:lang w:eastAsia="zh-CN"/>
        </w:rPr>
        <w:t xml:space="preserve">legacy </w:t>
      </w:r>
      <w:r>
        <w:rPr>
          <w:i/>
        </w:rPr>
        <w:t>timeInfo</w:t>
      </w:r>
      <w:r>
        <w:t xml:space="preserve"> including the GTS time and the UTC, for the purpose of positioning or time synchronization. For the TSC UE, if the TSC UE can request the SIB9 upon entering the CONNECTED, the early transmission of the reference time information can also benefit the UE performance (e.g. earlier time synchronization with the TSC clock.).</w:t>
      </w:r>
    </w:p>
    <w:p>
      <w:pPr>
        <w:rPr>
          <w:b/>
        </w:rPr>
      </w:pPr>
      <w:r>
        <w:rPr>
          <w:b/>
        </w:rPr>
        <w:t>Observation 1:</w:t>
      </w:r>
      <w:r>
        <w:rPr>
          <w:b/>
          <w:lang w:eastAsia="zh-CN"/>
        </w:rPr>
        <w:t xml:space="preserve"> SIB9 includes not only the </w:t>
      </w:r>
      <w:r>
        <w:rPr>
          <w:b/>
          <w:i/>
        </w:rPr>
        <w:t>referenceTimeInfo</w:t>
      </w:r>
      <w:r>
        <w:rPr>
          <w:b/>
          <w:lang w:eastAsia="zh-CN"/>
        </w:rPr>
        <w:t xml:space="preserve"> field (for the TSC UE) but also the legacy </w:t>
      </w:r>
      <w:r>
        <w:rPr>
          <w:b/>
          <w:i/>
        </w:rPr>
        <w:t>timeInfo</w:t>
      </w:r>
      <w:r>
        <w:rPr>
          <w:b/>
        </w:rPr>
        <w:t xml:space="preserve"> </w:t>
      </w:r>
      <w:r>
        <w:rPr>
          <w:b/>
          <w:lang w:eastAsia="zh-CN"/>
        </w:rPr>
        <w:t xml:space="preserve">field </w:t>
      </w:r>
      <w:r>
        <w:rPr>
          <w:b/>
        </w:rPr>
        <w:t>(for the non-TSC UE).</w:t>
      </w:r>
    </w:p>
    <w:p>
      <w:pPr>
        <w:rPr>
          <w:b/>
          <w:lang w:eastAsia="zh-CN"/>
        </w:rPr>
      </w:pPr>
      <w:r>
        <w:rPr>
          <w:b/>
        </w:rPr>
        <w:t>Observation 2: If the CONNECTED on-demand SI procedure supports SIB9, the TSC UE should be allowed to request SIB9.</w:t>
      </w:r>
    </w:p>
    <w:p>
      <w:pPr>
        <w:rPr>
          <w:b/>
          <w:lang w:eastAsia="zh-CN"/>
        </w:rPr>
      </w:pPr>
      <w:r>
        <w:rPr>
          <w:b/>
          <w:lang w:eastAsia="zh-CN"/>
        </w:rPr>
        <w:t>Proposal 1: The CONNECTED UE is allowed to request SIB9.</w:t>
      </w:r>
    </w:p>
    <w:p>
      <w:pPr>
        <w:rPr>
          <w:lang w:eastAsia="zh-CN"/>
        </w:rPr>
      </w:pPr>
      <w:r>
        <w:rPr>
          <w:lang w:eastAsia="zh-CN"/>
        </w:rPr>
        <w:t xml:space="preserve">According to the discussion on the on-demand SI procedures in the </w:t>
      </w:r>
      <w:r>
        <w:t>RAN2#109e meeting</w:t>
      </w:r>
      <w:r>
        <w:rPr>
          <w:lang w:eastAsia="zh-CN"/>
        </w:rPr>
        <w:t>, it is still FFS whether the UE can request the SIB9 by using the on-demand SI request message.</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79"/>
              <w:tabs>
                <w:tab w:val="left" w:pos="1619"/>
                <w:tab w:val="clear" w:pos="1440"/>
              </w:tabs>
              <w:ind w:left="1619"/>
              <w:rPr>
                <w:lang w:val="en-US"/>
              </w:rPr>
            </w:pPr>
            <w:r>
              <w:rPr>
                <w:lang w:val="en-US"/>
              </w:rPr>
              <w:t xml:space="preserve">In Rel-16 the UE is not allowed to request from SIB1 to SIB8 on-demand (FFS whether SIB9 is allowed is pending). </w:t>
            </w:r>
          </w:p>
        </w:tc>
      </w:tr>
    </w:tbl>
    <w:p>
      <w:pPr>
        <w:rPr>
          <w:lang w:eastAsia="zh-CN"/>
        </w:rPr>
      </w:pPr>
      <w:r>
        <w:rPr>
          <w:lang w:eastAsia="zh-CN"/>
        </w:rPr>
        <w:t xml:space="preserve">According to the agreed RRC CR [1] for the on-demand SI in CONNECTED, if we allow the UE to request the SIB9, the CONNECTED UE can report its request for an SIB via the </w:t>
      </w:r>
      <w:r>
        <w:rPr>
          <w:bCs/>
          <w:i/>
          <w:iCs/>
        </w:rPr>
        <w:t>DedicatedSIBRequest</w:t>
      </w:r>
      <w:r>
        <w:rPr>
          <w:lang w:eastAsia="zh-CN"/>
        </w:rPr>
        <w:t xml:space="preserve"> message, and the gNB by implementation can send the UE’s interested SIB via the </w:t>
      </w:r>
      <w:r>
        <w:rPr>
          <w:i/>
          <w:lang w:eastAsia="zh-CN"/>
        </w:rPr>
        <w:t>RRCReconfiguration</w:t>
      </w:r>
      <w:r>
        <w:rPr>
          <w:lang w:eastAsia="zh-CN"/>
        </w:rPr>
        <w:t xml:space="preserve"> message which currently already allows to include the SIB9 which could include both the </w:t>
      </w:r>
      <w:r>
        <w:rPr>
          <w:i/>
        </w:rPr>
        <w:t>referenceTimeInfo</w:t>
      </w:r>
      <w:r>
        <w:rPr>
          <w:lang w:eastAsia="zh-CN"/>
        </w:rPr>
        <w:t xml:space="preserve"> field (for the TSC UE) and the legacy </w:t>
      </w:r>
      <w:r>
        <w:rPr>
          <w:i/>
        </w:rPr>
        <w:t>timeInfo</w:t>
      </w:r>
      <w:r>
        <w:t xml:space="preserve"> </w:t>
      </w:r>
      <w:r>
        <w:rPr>
          <w:lang w:eastAsia="zh-CN"/>
        </w:rPr>
        <w:t xml:space="preserve">field </w:t>
      </w:r>
      <w:r>
        <w:t>(for the non-TSC UE)</w:t>
      </w:r>
      <w:r>
        <w:rPr>
          <w:lang w:eastAsia="zh-CN"/>
        </w:rPr>
        <w:t xml:space="preserve">. </w:t>
      </w:r>
    </w:p>
    <w:p>
      <w:pPr>
        <w:rPr>
          <w:b/>
          <w:lang w:eastAsia="zh-CN"/>
        </w:rPr>
      </w:pPr>
      <w:r>
        <w:rPr>
          <w:b/>
          <w:lang w:eastAsia="zh-CN"/>
        </w:rPr>
        <w:t xml:space="preserve">Observation 3: The current RRC specification already allows the SIB9 transmission via the </w:t>
      </w:r>
      <w:r>
        <w:rPr>
          <w:b/>
          <w:i/>
          <w:lang w:eastAsia="zh-CN"/>
        </w:rPr>
        <w:t>RRCReconfiguration</w:t>
      </w:r>
      <w:r>
        <w:rPr>
          <w:b/>
          <w:lang w:eastAsia="zh-CN"/>
        </w:rPr>
        <w:t xml:space="preserve"> message, including both the </w:t>
      </w:r>
      <w:r>
        <w:rPr>
          <w:b/>
          <w:i/>
        </w:rPr>
        <w:t>referenceTimeInfo</w:t>
      </w:r>
      <w:r>
        <w:rPr>
          <w:b/>
          <w:lang w:eastAsia="zh-CN"/>
        </w:rPr>
        <w:t xml:space="preserve"> field (for the TSC UE) and the legacy </w:t>
      </w:r>
      <w:r>
        <w:rPr>
          <w:b/>
          <w:i/>
        </w:rPr>
        <w:t>timeInfo</w:t>
      </w:r>
      <w:r>
        <w:rPr>
          <w:b/>
        </w:rPr>
        <w:t xml:space="preserve"> </w:t>
      </w:r>
      <w:r>
        <w:rPr>
          <w:b/>
          <w:lang w:eastAsia="zh-CN"/>
        </w:rPr>
        <w:t xml:space="preserve">field </w:t>
      </w:r>
      <w:r>
        <w:rPr>
          <w:b/>
        </w:rPr>
        <w:t>(for the non-TSC UE)</w:t>
      </w:r>
      <w:r>
        <w:rPr>
          <w:b/>
          <w:lang w:eastAsia="zh-CN"/>
        </w:rPr>
        <w:t>.</w:t>
      </w:r>
    </w:p>
    <w:p>
      <w:r>
        <w:rPr>
          <w:lang w:eastAsia="zh-CN"/>
        </w:rPr>
        <w:t xml:space="preserve">However if the new </w:t>
      </w:r>
      <w:r>
        <w:rPr>
          <w:i/>
        </w:rPr>
        <w:t>referenceTimeInfo</w:t>
      </w:r>
      <w:r>
        <w:rPr>
          <w:lang w:eastAsia="zh-CN"/>
        </w:rPr>
        <w:t xml:space="preserve"> field is included in the SIB9 transmitted in the </w:t>
      </w:r>
      <w:r>
        <w:rPr>
          <w:i/>
          <w:lang w:eastAsia="zh-CN"/>
        </w:rPr>
        <w:t>RRCReconfiguration</w:t>
      </w:r>
      <w:r>
        <w:rPr>
          <w:lang w:eastAsia="zh-CN"/>
        </w:rPr>
        <w:t xml:space="preserve"> message, the CONNECTED UE would not be able to know the reference SFN for the </w:t>
      </w:r>
      <w:r>
        <w:rPr>
          <w:i/>
        </w:rPr>
        <w:t>referenceTimeInfo</w:t>
      </w:r>
      <w:r>
        <w:t xml:space="preserve">, as the </w:t>
      </w:r>
      <w:r>
        <w:rPr>
          <w:i/>
        </w:rPr>
        <w:t>referenceSFN</w:t>
      </w:r>
      <w:r>
        <w:t xml:space="preserve"> field is only configured for </w:t>
      </w:r>
      <w:r>
        <w:rPr>
          <w:lang w:eastAsia="zh-CN"/>
        </w:rPr>
        <w:t xml:space="preserve">the </w:t>
      </w:r>
      <w:r>
        <w:rPr>
          <w:i/>
        </w:rPr>
        <w:t>referenceTimeInfo</w:t>
      </w:r>
      <w:r>
        <w:t xml:space="preserve"> included the </w:t>
      </w:r>
      <w:r>
        <w:rPr>
          <w:i/>
        </w:rPr>
        <w:t>DLInformationTransfer</w:t>
      </w:r>
      <w:r>
        <w:t xml:space="preserve"> message according to [4].</w:t>
      </w:r>
    </w:p>
    <w:p>
      <w:pPr>
        <w:rPr>
          <w:b/>
          <w:lang w:eastAsia="zh-CN"/>
        </w:rPr>
      </w:pPr>
      <w:r>
        <w:rPr>
          <w:b/>
        </w:rPr>
        <w:t xml:space="preserve">Observation 4: According to the current RRC CR for the IIOT WI, the </w:t>
      </w:r>
      <w:r>
        <w:rPr>
          <w:b/>
          <w:i/>
        </w:rPr>
        <w:t>referenceSFN</w:t>
      </w:r>
      <w:r>
        <w:rPr>
          <w:b/>
        </w:rPr>
        <w:t xml:space="preserve"> field is only configured for </w:t>
      </w:r>
      <w:r>
        <w:rPr>
          <w:b/>
          <w:lang w:eastAsia="zh-CN"/>
        </w:rPr>
        <w:t xml:space="preserve">the </w:t>
      </w:r>
      <w:r>
        <w:rPr>
          <w:b/>
          <w:i/>
        </w:rPr>
        <w:t>referenceTimeInfo</w:t>
      </w:r>
      <w:r>
        <w:rPr>
          <w:b/>
        </w:rPr>
        <w:t xml:space="preserve"> included the </w:t>
      </w:r>
      <w:r>
        <w:rPr>
          <w:b/>
          <w:i/>
        </w:rPr>
        <w:t>DLInformationTransfer</w:t>
      </w:r>
      <w:r>
        <w:rPr>
          <w:b/>
        </w:rPr>
        <w:t>.</w:t>
      </w:r>
    </w:p>
    <w:p>
      <w:pPr>
        <w:rPr>
          <w:lang w:eastAsia="zh-CN"/>
        </w:rPr>
      </w:pPr>
      <w:r>
        <w:rPr>
          <w:lang w:eastAsia="zh-CN"/>
        </w:rPr>
        <w:t xml:space="preserve">Thus we consider that the specification can simply allow the gNB to include </w:t>
      </w:r>
      <w:r>
        <w:t xml:space="preserve">the </w:t>
      </w:r>
      <w:r>
        <w:rPr>
          <w:i/>
        </w:rPr>
        <w:t>referenceSFN</w:t>
      </w:r>
      <w:r>
        <w:t xml:space="preserve"> field in </w:t>
      </w:r>
      <w:r>
        <w:rPr>
          <w:lang w:eastAsia="zh-CN"/>
        </w:rPr>
        <w:t xml:space="preserve">the </w:t>
      </w:r>
      <w:r>
        <w:rPr>
          <w:i/>
          <w:lang w:eastAsia="zh-CN"/>
        </w:rPr>
        <w:t>RRCReconfiguration</w:t>
      </w:r>
      <w:r>
        <w:rPr>
          <w:lang w:eastAsia="zh-CN"/>
        </w:rPr>
        <w:t xml:space="preserve"> message</w:t>
      </w:r>
      <w:r>
        <w:t xml:space="preserve"> to allow the TSC UE to use the reference time information included in the </w:t>
      </w:r>
      <w:r>
        <w:rPr>
          <w:i/>
          <w:lang w:eastAsia="zh-CN"/>
        </w:rPr>
        <w:t>RRCReconfiguration</w:t>
      </w:r>
      <w:r>
        <w:rPr>
          <w:lang w:eastAsia="zh-CN"/>
        </w:rPr>
        <w:t xml:space="preserve"> message.</w:t>
      </w:r>
    </w:p>
    <w:p>
      <w:pPr>
        <w:rPr>
          <w:b/>
          <w:lang w:eastAsia="zh-CN"/>
        </w:rPr>
      </w:pPr>
      <w:r>
        <w:rPr>
          <w:b/>
          <w:lang w:eastAsia="zh-CN"/>
        </w:rPr>
        <w:t xml:space="preserve">Proposal 2: </w:t>
      </w:r>
      <w:r>
        <w:rPr>
          <w:b/>
        </w:rPr>
        <w:t xml:space="preserve">The </w:t>
      </w:r>
      <w:r>
        <w:rPr>
          <w:b/>
          <w:i/>
        </w:rPr>
        <w:t>referenceSFN</w:t>
      </w:r>
      <w:r>
        <w:rPr>
          <w:b/>
        </w:rPr>
        <w:t xml:space="preserve"> field is configured when the </w:t>
      </w:r>
      <w:r>
        <w:rPr>
          <w:b/>
          <w:i/>
        </w:rPr>
        <w:t>referenceTimeInfo</w:t>
      </w:r>
      <w:r>
        <w:rPr>
          <w:b/>
        </w:rPr>
        <w:t xml:space="preserve"> field is included in the SIB9 of the </w:t>
      </w:r>
      <w:r>
        <w:rPr>
          <w:b/>
          <w:i/>
        </w:rPr>
        <w:t>RRCReconfiguration</w:t>
      </w:r>
      <w:r>
        <w:rPr>
          <w:b/>
        </w:rPr>
        <w:t xml:space="preserve"> message.</w:t>
      </w:r>
    </w:p>
    <w:p>
      <w:pPr>
        <w:rPr>
          <w:lang w:eastAsia="zh-CN"/>
        </w:rPr>
      </w:pPr>
    </w:p>
    <w:p>
      <w:pPr>
        <w:pStyle w:val="2"/>
        <w:jc w:val="left"/>
      </w:pPr>
      <w:r>
        <w:t>Conclusions</w:t>
      </w:r>
    </w:p>
    <w:p>
      <w:pPr>
        <w:spacing w:afterLines="50" w:line="240" w:lineRule="auto"/>
        <w:jc w:val="left"/>
      </w:pPr>
      <w:r>
        <w:t xml:space="preserve">Based on the analysis given above, we have the following observations and </w:t>
      </w:r>
      <w:r>
        <w:rPr>
          <w:rFonts w:hint="eastAsia"/>
        </w:rPr>
        <w:t>p</w:t>
      </w:r>
      <w:r>
        <w:t>roposals:</w:t>
      </w:r>
    </w:p>
    <w:p>
      <w:pPr>
        <w:rPr>
          <w:b/>
        </w:rPr>
      </w:pPr>
      <w:r>
        <w:rPr>
          <w:b/>
        </w:rPr>
        <w:t>Observation 1:</w:t>
      </w:r>
      <w:r>
        <w:rPr>
          <w:b/>
          <w:lang w:eastAsia="zh-CN"/>
        </w:rPr>
        <w:t xml:space="preserve"> SIB9 includes not only the </w:t>
      </w:r>
      <w:r>
        <w:rPr>
          <w:b/>
          <w:i/>
        </w:rPr>
        <w:t>referenceTimeInfo</w:t>
      </w:r>
      <w:r>
        <w:rPr>
          <w:b/>
          <w:lang w:eastAsia="zh-CN"/>
        </w:rPr>
        <w:t xml:space="preserve"> field (for the TSC UE) but also the legacy </w:t>
      </w:r>
      <w:r>
        <w:rPr>
          <w:b/>
          <w:i/>
        </w:rPr>
        <w:t>timeInfo</w:t>
      </w:r>
      <w:r>
        <w:rPr>
          <w:b/>
        </w:rPr>
        <w:t xml:space="preserve"> </w:t>
      </w:r>
      <w:r>
        <w:rPr>
          <w:b/>
          <w:lang w:eastAsia="zh-CN"/>
        </w:rPr>
        <w:t xml:space="preserve">field </w:t>
      </w:r>
      <w:r>
        <w:rPr>
          <w:b/>
        </w:rPr>
        <w:t>(for the non-TSC UE).</w:t>
      </w:r>
    </w:p>
    <w:p>
      <w:pPr>
        <w:rPr>
          <w:b/>
          <w:lang w:eastAsia="zh-CN"/>
        </w:rPr>
      </w:pPr>
      <w:r>
        <w:rPr>
          <w:b/>
        </w:rPr>
        <w:t>Observation 2: If the CONNECTED on-demand SI procedure supports SIB9, the TSC UE should be allowed to request SIB9.</w:t>
      </w:r>
    </w:p>
    <w:p>
      <w:pPr>
        <w:rPr>
          <w:b/>
          <w:lang w:eastAsia="zh-CN"/>
        </w:rPr>
      </w:pPr>
      <w:r>
        <w:rPr>
          <w:b/>
          <w:lang w:eastAsia="zh-CN"/>
        </w:rPr>
        <w:t xml:space="preserve">Observation 3: The current RRC specification already allows the SIB9 transmission via the </w:t>
      </w:r>
      <w:r>
        <w:rPr>
          <w:b/>
          <w:i/>
          <w:lang w:eastAsia="zh-CN"/>
        </w:rPr>
        <w:t>RRCReconfiguration</w:t>
      </w:r>
      <w:r>
        <w:rPr>
          <w:b/>
          <w:lang w:eastAsia="zh-CN"/>
        </w:rPr>
        <w:t xml:space="preserve"> message, including both the </w:t>
      </w:r>
      <w:r>
        <w:rPr>
          <w:b/>
          <w:i/>
        </w:rPr>
        <w:t>referenceTimeInfo</w:t>
      </w:r>
      <w:r>
        <w:rPr>
          <w:b/>
          <w:lang w:eastAsia="zh-CN"/>
        </w:rPr>
        <w:t xml:space="preserve"> field (for the TSC UE) and the legacy </w:t>
      </w:r>
      <w:r>
        <w:rPr>
          <w:b/>
          <w:i/>
        </w:rPr>
        <w:t>timeInfo</w:t>
      </w:r>
      <w:r>
        <w:rPr>
          <w:b/>
        </w:rPr>
        <w:t xml:space="preserve"> </w:t>
      </w:r>
      <w:r>
        <w:rPr>
          <w:b/>
          <w:lang w:eastAsia="zh-CN"/>
        </w:rPr>
        <w:t xml:space="preserve">field </w:t>
      </w:r>
      <w:r>
        <w:rPr>
          <w:b/>
        </w:rPr>
        <w:t>(for the non-TSC UE)</w:t>
      </w:r>
      <w:r>
        <w:rPr>
          <w:b/>
          <w:lang w:eastAsia="zh-CN"/>
        </w:rPr>
        <w:t>.</w:t>
      </w:r>
    </w:p>
    <w:p>
      <w:pPr>
        <w:rPr>
          <w:b/>
          <w:lang w:eastAsia="zh-CN"/>
        </w:rPr>
      </w:pPr>
      <w:r>
        <w:rPr>
          <w:b/>
        </w:rPr>
        <w:t xml:space="preserve">Observation 4: According to the current RRC CR for the IIOT WI, the </w:t>
      </w:r>
      <w:r>
        <w:rPr>
          <w:b/>
          <w:i/>
        </w:rPr>
        <w:t>referenceSFN</w:t>
      </w:r>
      <w:r>
        <w:rPr>
          <w:b/>
        </w:rPr>
        <w:t xml:space="preserve"> field is only configured for </w:t>
      </w:r>
      <w:r>
        <w:rPr>
          <w:b/>
          <w:lang w:eastAsia="zh-CN"/>
        </w:rPr>
        <w:t xml:space="preserve">the </w:t>
      </w:r>
      <w:r>
        <w:rPr>
          <w:b/>
          <w:i/>
        </w:rPr>
        <w:t>referenceTimeInfo</w:t>
      </w:r>
      <w:r>
        <w:rPr>
          <w:b/>
        </w:rPr>
        <w:t xml:space="preserve"> included the </w:t>
      </w:r>
      <w:r>
        <w:rPr>
          <w:b/>
          <w:i/>
        </w:rPr>
        <w:t>DLInformationTransfer</w:t>
      </w:r>
      <w:r>
        <w:rPr>
          <w:b/>
        </w:rPr>
        <w:t>.</w:t>
      </w:r>
    </w:p>
    <w:p>
      <w:pPr>
        <w:rPr>
          <w:b/>
          <w:lang w:eastAsia="zh-CN"/>
        </w:rPr>
      </w:pPr>
      <w:r>
        <w:rPr>
          <w:b/>
          <w:lang w:eastAsia="zh-CN"/>
        </w:rPr>
        <w:t>Proposal 1: The CONNECTED UE is allowed to request SIB9.</w:t>
      </w:r>
    </w:p>
    <w:p>
      <w:r>
        <w:rPr>
          <w:b/>
          <w:lang w:eastAsia="zh-CN"/>
        </w:rPr>
        <w:t xml:space="preserve">Proposal 2: </w:t>
      </w:r>
      <w:r>
        <w:rPr>
          <w:b/>
        </w:rPr>
        <w:t xml:space="preserve">The </w:t>
      </w:r>
      <w:r>
        <w:rPr>
          <w:b/>
          <w:i/>
        </w:rPr>
        <w:t>referenceSFN</w:t>
      </w:r>
      <w:r>
        <w:rPr>
          <w:b/>
        </w:rPr>
        <w:t xml:space="preserve"> field is configured when the </w:t>
      </w:r>
      <w:r>
        <w:rPr>
          <w:b/>
          <w:i/>
        </w:rPr>
        <w:t>referenceTimeInfo</w:t>
      </w:r>
      <w:r>
        <w:rPr>
          <w:b/>
        </w:rPr>
        <w:t xml:space="preserve"> field is included in the SIB9 of the </w:t>
      </w:r>
      <w:r>
        <w:rPr>
          <w:b/>
          <w:i/>
        </w:rPr>
        <w:t>RRCReconfiguration</w:t>
      </w:r>
      <w:r>
        <w:rPr>
          <w:b/>
        </w:rPr>
        <w:t xml:space="preserve"> message.</w:t>
      </w:r>
    </w:p>
    <w:p>
      <w:pPr>
        <w:pStyle w:val="2"/>
        <w:spacing w:before="180" w:line="240" w:lineRule="auto"/>
        <w:ind w:left="0" w:firstLine="0"/>
        <w:jc w:val="left"/>
      </w:pPr>
      <w:bookmarkStart w:id="2" w:name="_Toc502437832"/>
      <w:r>
        <w:t>Reference</w:t>
      </w:r>
    </w:p>
    <w:bookmarkEnd w:id="2"/>
    <w:p>
      <w:pPr>
        <w:spacing w:afterLines="50" w:line="240" w:lineRule="auto"/>
        <w:jc w:val="left"/>
      </w:pPr>
      <w:r>
        <w:t>[1] Meeting minutes of the RAN2#109e meeting.</w:t>
      </w:r>
    </w:p>
    <w:p>
      <w:pPr>
        <w:spacing w:afterLines="50" w:line="240" w:lineRule="auto"/>
        <w:jc w:val="left"/>
      </w:pPr>
      <w:r>
        <w:t xml:space="preserve">[2] </w:t>
      </w:r>
      <w:r>
        <w:fldChar w:fldCharType="begin"/>
      </w:r>
      <w:r>
        <w:instrText xml:space="preserve"> DOCPROPERTY  Tdoc#  \* MERGEFORMAT </w:instrText>
      </w:r>
      <w:r>
        <w:fldChar w:fldCharType="separate"/>
      </w:r>
      <w:r>
        <w:t>R2-2002228</w:t>
      </w:r>
      <w:r>
        <w:fldChar w:fldCharType="end"/>
      </w:r>
      <w:r>
        <w:t>, Ericsson, “Running CR on 38.331 for on-demand SI procedure in RRC_CONNECTED”.</w:t>
      </w:r>
    </w:p>
    <w:p>
      <w:pPr>
        <w:spacing w:afterLines="50" w:line="240" w:lineRule="auto"/>
        <w:jc w:val="left"/>
      </w:pPr>
      <w:r>
        <w:t>[3] S2-1912769, Reply LSin, SA2, “Reply LS on reference time delivery”.</w:t>
      </w:r>
    </w:p>
    <w:p>
      <w:pPr>
        <w:spacing w:afterLines="50" w:line="240" w:lineRule="auto"/>
        <w:jc w:val="left"/>
      </w:pPr>
      <w:r>
        <w:t>[4] R2-2002359, Ericsson, “Introduction of NR IIoT”.</w:t>
      </w:r>
    </w:p>
    <w:p>
      <w:pPr>
        <w:spacing w:afterLines="50" w:line="240" w:lineRule="auto"/>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EEB"/>
    <w:rsid w:val="00021438"/>
    <w:rsid w:val="0002174B"/>
    <w:rsid w:val="00021EC9"/>
    <w:rsid w:val="0002330B"/>
    <w:rsid w:val="00023408"/>
    <w:rsid w:val="000239A0"/>
    <w:rsid w:val="00023B7D"/>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AE7"/>
    <w:rsid w:val="00081778"/>
    <w:rsid w:val="00081E54"/>
    <w:rsid w:val="00082C74"/>
    <w:rsid w:val="00083BD2"/>
    <w:rsid w:val="00083C4D"/>
    <w:rsid w:val="00083E8A"/>
    <w:rsid w:val="00084367"/>
    <w:rsid w:val="000849B7"/>
    <w:rsid w:val="000857B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CC"/>
    <w:rsid w:val="000A7685"/>
    <w:rsid w:val="000A796C"/>
    <w:rsid w:val="000B0705"/>
    <w:rsid w:val="000B148E"/>
    <w:rsid w:val="000B1C79"/>
    <w:rsid w:val="000B1CE6"/>
    <w:rsid w:val="000B1D96"/>
    <w:rsid w:val="000B2113"/>
    <w:rsid w:val="000B25EB"/>
    <w:rsid w:val="000B2721"/>
    <w:rsid w:val="000B2A44"/>
    <w:rsid w:val="000B30CF"/>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E39"/>
    <w:rsid w:val="000E4363"/>
    <w:rsid w:val="000E502E"/>
    <w:rsid w:val="000E5FDE"/>
    <w:rsid w:val="000E778C"/>
    <w:rsid w:val="000E7CE0"/>
    <w:rsid w:val="000F03D3"/>
    <w:rsid w:val="000F1473"/>
    <w:rsid w:val="000F231C"/>
    <w:rsid w:val="000F272B"/>
    <w:rsid w:val="000F3711"/>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5C"/>
    <w:rsid w:val="00101B49"/>
    <w:rsid w:val="00101C70"/>
    <w:rsid w:val="001021B0"/>
    <w:rsid w:val="0010283B"/>
    <w:rsid w:val="00102A80"/>
    <w:rsid w:val="00103483"/>
    <w:rsid w:val="001036A0"/>
    <w:rsid w:val="001038D8"/>
    <w:rsid w:val="001041B8"/>
    <w:rsid w:val="00104E02"/>
    <w:rsid w:val="001051CC"/>
    <w:rsid w:val="00105FC1"/>
    <w:rsid w:val="001060B8"/>
    <w:rsid w:val="001069BB"/>
    <w:rsid w:val="00107090"/>
    <w:rsid w:val="001074F1"/>
    <w:rsid w:val="00107B07"/>
    <w:rsid w:val="00110419"/>
    <w:rsid w:val="00110CA3"/>
    <w:rsid w:val="00110F82"/>
    <w:rsid w:val="001110CD"/>
    <w:rsid w:val="00111B28"/>
    <w:rsid w:val="00112478"/>
    <w:rsid w:val="001127AE"/>
    <w:rsid w:val="00112864"/>
    <w:rsid w:val="001128D2"/>
    <w:rsid w:val="00112A86"/>
    <w:rsid w:val="00112BA4"/>
    <w:rsid w:val="00112D9F"/>
    <w:rsid w:val="00112E0B"/>
    <w:rsid w:val="00113507"/>
    <w:rsid w:val="001141C8"/>
    <w:rsid w:val="00114657"/>
    <w:rsid w:val="00114731"/>
    <w:rsid w:val="00114E2E"/>
    <w:rsid w:val="00115666"/>
    <w:rsid w:val="001156F9"/>
    <w:rsid w:val="00115741"/>
    <w:rsid w:val="00115BDD"/>
    <w:rsid w:val="00115EBC"/>
    <w:rsid w:val="001173C2"/>
    <w:rsid w:val="001179FA"/>
    <w:rsid w:val="00117A55"/>
    <w:rsid w:val="00117C91"/>
    <w:rsid w:val="00120038"/>
    <w:rsid w:val="001209D1"/>
    <w:rsid w:val="00120F78"/>
    <w:rsid w:val="0012126A"/>
    <w:rsid w:val="00121D44"/>
    <w:rsid w:val="00121FCA"/>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492"/>
    <w:rsid w:val="001365FC"/>
    <w:rsid w:val="00136B64"/>
    <w:rsid w:val="00136DEF"/>
    <w:rsid w:val="0013795E"/>
    <w:rsid w:val="00137CFF"/>
    <w:rsid w:val="00137D3A"/>
    <w:rsid w:val="001402B9"/>
    <w:rsid w:val="00140725"/>
    <w:rsid w:val="00141F63"/>
    <w:rsid w:val="00142856"/>
    <w:rsid w:val="00143609"/>
    <w:rsid w:val="00143A70"/>
    <w:rsid w:val="00143D15"/>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522A"/>
    <w:rsid w:val="001857CA"/>
    <w:rsid w:val="00186273"/>
    <w:rsid w:val="00186288"/>
    <w:rsid w:val="001862DA"/>
    <w:rsid w:val="001865C8"/>
    <w:rsid w:val="00186968"/>
    <w:rsid w:val="00186AA7"/>
    <w:rsid w:val="00186F43"/>
    <w:rsid w:val="00187947"/>
    <w:rsid w:val="001902CF"/>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AE8"/>
    <w:rsid w:val="001A2B8A"/>
    <w:rsid w:val="001A2F08"/>
    <w:rsid w:val="001A35D3"/>
    <w:rsid w:val="001A492F"/>
    <w:rsid w:val="001A4E12"/>
    <w:rsid w:val="001A6E3E"/>
    <w:rsid w:val="001A7731"/>
    <w:rsid w:val="001A7C55"/>
    <w:rsid w:val="001B0A81"/>
    <w:rsid w:val="001B0C11"/>
    <w:rsid w:val="001B3233"/>
    <w:rsid w:val="001B409E"/>
    <w:rsid w:val="001B4B7C"/>
    <w:rsid w:val="001B500F"/>
    <w:rsid w:val="001B591A"/>
    <w:rsid w:val="001B5EDB"/>
    <w:rsid w:val="001B5F18"/>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F15"/>
    <w:rsid w:val="001D1A3C"/>
    <w:rsid w:val="001D27DD"/>
    <w:rsid w:val="001D2985"/>
    <w:rsid w:val="001D299B"/>
    <w:rsid w:val="001D2C22"/>
    <w:rsid w:val="001D2C6A"/>
    <w:rsid w:val="001D2D3D"/>
    <w:rsid w:val="001D393B"/>
    <w:rsid w:val="001D3F46"/>
    <w:rsid w:val="001D4B35"/>
    <w:rsid w:val="001D4EEF"/>
    <w:rsid w:val="001D5032"/>
    <w:rsid w:val="001D52D0"/>
    <w:rsid w:val="001D6315"/>
    <w:rsid w:val="001D665D"/>
    <w:rsid w:val="001D69F0"/>
    <w:rsid w:val="001D6EB5"/>
    <w:rsid w:val="001D7676"/>
    <w:rsid w:val="001D7D0B"/>
    <w:rsid w:val="001E00C5"/>
    <w:rsid w:val="001E01A9"/>
    <w:rsid w:val="001E01C7"/>
    <w:rsid w:val="001E0642"/>
    <w:rsid w:val="001E102C"/>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321D"/>
    <w:rsid w:val="001F3538"/>
    <w:rsid w:val="001F36A7"/>
    <w:rsid w:val="001F3A9D"/>
    <w:rsid w:val="001F40A7"/>
    <w:rsid w:val="001F428F"/>
    <w:rsid w:val="001F44D4"/>
    <w:rsid w:val="001F4C4A"/>
    <w:rsid w:val="001F4E06"/>
    <w:rsid w:val="001F62F7"/>
    <w:rsid w:val="001F7657"/>
    <w:rsid w:val="00201BE0"/>
    <w:rsid w:val="00202E5B"/>
    <w:rsid w:val="0020307D"/>
    <w:rsid w:val="00203669"/>
    <w:rsid w:val="00203E23"/>
    <w:rsid w:val="00203E47"/>
    <w:rsid w:val="002049C3"/>
    <w:rsid w:val="00204DB4"/>
    <w:rsid w:val="0020504D"/>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C6F"/>
    <w:rsid w:val="00215D47"/>
    <w:rsid w:val="002167C5"/>
    <w:rsid w:val="00216839"/>
    <w:rsid w:val="00216F5C"/>
    <w:rsid w:val="00217011"/>
    <w:rsid w:val="002177C8"/>
    <w:rsid w:val="00217E25"/>
    <w:rsid w:val="00220147"/>
    <w:rsid w:val="002201D2"/>
    <w:rsid w:val="00220926"/>
    <w:rsid w:val="00220B81"/>
    <w:rsid w:val="00221A02"/>
    <w:rsid w:val="0022225D"/>
    <w:rsid w:val="002227B7"/>
    <w:rsid w:val="00222A35"/>
    <w:rsid w:val="0022379F"/>
    <w:rsid w:val="00223803"/>
    <w:rsid w:val="002238C9"/>
    <w:rsid w:val="00223B2A"/>
    <w:rsid w:val="00223B53"/>
    <w:rsid w:val="002243E8"/>
    <w:rsid w:val="00224908"/>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6B24"/>
    <w:rsid w:val="00237942"/>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311D"/>
    <w:rsid w:val="002633FE"/>
    <w:rsid w:val="002636F5"/>
    <w:rsid w:val="00264157"/>
    <w:rsid w:val="00264B65"/>
    <w:rsid w:val="0026517F"/>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973"/>
    <w:rsid w:val="00296F9C"/>
    <w:rsid w:val="002974AE"/>
    <w:rsid w:val="002975BF"/>
    <w:rsid w:val="0029775F"/>
    <w:rsid w:val="00297FF4"/>
    <w:rsid w:val="002A0294"/>
    <w:rsid w:val="002A08E6"/>
    <w:rsid w:val="002A12C9"/>
    <w:rsid w:val="002A1778"/>
    <w:rsid w:val="002A22D5"/>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971"/>
    <w:rsid w:val="002B1F4B"/>
    <w:rsid w:val="002B260C"/>
    <w:rsid w:val="002B27B9"/>
    <w:rsid w:val="002B2F91"/>
    <w:rsid w:val="002B49DD"/>
    <w:rsid w:val="002B5314"/>
    <w:rsid w:val="002B5CCF"/>
    <w:rsid w:val="002B5DBF"/>
    <w:rsid w:val="002B5F80"/>
    <w:rsid w:val="002B6079"/>
    <w:rsid w:val="002B6114"/>
    <w:rsid w:val="002B6243"/>
    <w:rsid w:val="002B63F8"/>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10B"/>
    <w:rsid w:val="003D5433"/>
    <w:rsid w:val="003D5A84"/>
    <w:rsid w:val="003D629F"/>
    <w:rsid w:val="003D6376"/>
    <w:rsid w:val="003D637A"/>
    <w:rsid w:val="003D7393"/>
    <w:rsid w:val="003D74B2"/>
    <w:rsid w:val="003D7CEF"/>
    <w:rsid w:val="003E047A"/>
    <w:rsid w:val="003E0974"/>
    <w:rsid w:val="003E0D2E"/>
    <w:rsid w:val="003E0E5B"/>
    <w:rsid w:val="003E1171"/>
    <w:rsid w:val="003E1342"/>
    <w:rsid w:val="003E13F2"/>
    <w:rsid w:val="003E1B7C"/>
    <w:rsid w:val="003E1DB8"/>
    <w:rsid w:val="003E2076"/>
    <w:rsid w:val="003E2243"/>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282B"/>
    <w:rsid w:val="00402E78"/>
    <w:rsid w:val="004033CD"/>
    <w:rsid w:val="004045C6"/>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9EC"/>
    <w:rsid w:val="00413BE8"/>
    <w:rsid w:val="00413C6C"/>
    <w:rsid w:val="004145E9"/>
    <w:rsid w:val="0041496A"/>
    <w:rsid w:val="00414D72"/>
    <w:rsid w:val="00415057"/>
    <w:rsid w:val="00415417"/>
    <w:rsid w:val="00415492"/>
    <w:rsid w:val="00415A6E"/>
    <w:rsid w:val="00416B01"/>
    <w:rsid w:val="00417690"/>
    <w:rsid w:val="00417901"/>
    <w:rsid w:val="00417A7D"/>
    <w:rsid w:val="00417B1D"/>
    <w:rsid w:val="00417F08"/>
    <w:rsid w:val="00420062"/>
    <w:rsid w:val="004200D6"/>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7DE1"/>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E0148"/>
    <w:rsid w:val="004E0C72"/>
    <w:rsid w:val="004E0EF9"/>
    <w:rsid w:val="004E14FD"/>
    <w:rsid w:val="004E1BAE"/>
    <w:rsid w:val="004E2221"/>
    <w:rsid w:val="004E30D9"/>
    <w:rsid w:val="004E348B"/>
    <w:rsid w:val="004E38C2"/>
    <w:rsid w:val="004E4182"/>
    <w:rsid w:val="004E473D"/>
    <w:rsid w:val="004E4B26"/>
    <w:rsid w:val="004E4D62"/>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EFD"/>
    <w:rsid w:val="005113F5"/>
    <w:rsid w:val="00511471"/>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6D9"/>
    <w:rsid w:val="0051780E"/>
    <w:rsid w:val="005179C1"/>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5BA6"/>
    <w:rsid w:val="005469BF"/>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92C"/>
    <w:rsid w:val="00560E9D"/>
    <w:rsid w:val="005612C1"/>
    <w:rsid w:val="00561344"/>
    <w:rsid w:val="00561F15"/>
    <w:rsid w:val="00561F74"/>
    <w:rsid w:val="00562105"/>
    <w:rsid w:val="00562694"/>
    <w:rsid w:val="00562AF5"/>
    <w:rsid w:val="00562F21"/>
    <w:rsid w:val="005631CC"/>
    <w:rsid w:val="00564147"/>
    <w:rsid w:val="00564809"/>
    <w:rsid w:val="005659C4"/>
    <w:rsid w:val="005664F9"/>
    <w:rsid w:val="0056674B"/>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7F53"/>
    <w:rsid w:val="00600490"/>
    <w:rsid w:val="006008AE"/>
    <w:rsid w:val="00601C18"/>
    <w:rsid w:val="00602A51"/>
    <w:rsid w:val="00602E02"/>
    <w:rsid w:val="006030EA"/>
    <w:rsid w:val="0060350B"/>
    <w:rsid w:val="00603DDD"/>
    <w:rsid w:val="00603EEF"/>
    <w:rsid w:val="006045A6"/>
    <w:rsid w:val="00604818"/>
    <w:rsid w:val="0060571A"/>
    <w:rsid w:val="006058A6"/>
    <w:rsid w:val="00605B46"/>
    <w:rsid w:val="00606096"/>
    <w:rsid w:val="006066CB"/>
    <w:rsid w:val="0060686E"/>
    <w:rsid w:val="00606EAF"/>
    <w:rsid w:val="00607721"/>
    <w:rsid w:val="00607A91"/>
    <w:rsid w:val="00610010"/>
    <w:rsid w:val="00610E14"/>
    <w:rsid w:val="00611291"/>
    <w:rsid w:val="0061166F"/>
    <w:rsid w:val="006119AC"/>
    <w:rsid w:val="00611BA5"/>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A02"/>
    <w:rsid w:val="006242B7"/>
    <w:rsid w:val="00624735"/>
    <w:rsid w:val="00624C4B"/>
    <w:rsid w:val="00625B1E"/>
    <w:rsid w:val="00626C72"/>
    <w:rsid w:val="00626DD0"/>
    <w:rsid w:val="00631126"/>
    <w:rsid w:val="0063127D"/>
    <w:rsid w:val="00631456"/>
    <w:rsid w:val="00631795"/>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7D6"/>
    <w:rsid w:val="00650950"/>
    <w:rsid w:val="00650C44"/>
    <w:rsid w:val="00650D5E"/>
    <w:rsid w:val="0065102E"/>
    <w:rsid w:val="00651143"/>
    <w:rsid w:val="0065185C"/>
    <w:rsid w:val="00651CB3"/>
    <w:rsid w:val="0065467E"/>
    <w:rsid w:val="006546ED"/>
    <w:rsid w:val="00654C3D"/>
    <w:rsid w:val="00654C60"/>
    <w:rsid w:val="00654DF8"/>
    <w:rsid w:val="006553F6"/>
    <w:rsid w:val="00655689"/>
    <w:rsid w:val="00655F2B"/>
    <w:rsid w:val="0065605A"/>
    <w:rsid w:val="00656311"/>
    <w:rsid w:val="0065649C"/>
    <w:rsid w:val="006564C7"/>
    <w:rsid w:val="00656628"/>
    <w:rsid w:val="00656864"/>
    <w:rsid w:val="00656878"/>
    <w:rsid w:val="00656DD8"/>
    <w:rsid w:val="00657563"/>
    <w:rsid w:val="00660C97"/>
    <w:rsid w:val="00660D5E"/>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F6"/>
    <w:rsid w:val="00691537"/>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82A"/>
    <w:rsid w:val="006A4A12"/>
    <w:rsid w:val="006A4A7E"/>
    <w:rsid w:val="006A4AB1"/>
    <w:rsid w:val="006A4C63"/>
    <w:rsid w:val="006A5451"/>
    <w:rsid w:val="006A5B8B"/>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C0A"/>
    <w:rsid w:val="006D3BB6"/>
    <w:rsid w:val="006D41E8"/>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80D"/>
    <w:rsid w:val="00701885"/>
    <w:rsid w:val="00701E65"/>
    <w:rsid w:val="00701EC3"/>
    <w:rsid w:val="00703220"/>
    <w:rsid w:val="00703483"/>
    <w:rsid w:val="00703D91"/>
    <w:rsid w:val="007043F9"/>
    <w:rsid w:val="0070676C"/>
    <w:rsid w:val="00707567"/>
    <w:rsid w:val="00707D2B"/>
    <w:rsid w:val="00707E41"/>
    <w:rsid w:val="00710392"/>
    <w:rsid w:val="007107CE"/>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B50"/>
    <w:rsid w:val="00732162"/>
    <w:rsid w:val="00732933"/>
    <w:rsid w:val="0073293A"/>
    <w:rsid w:val="0073295B"/>
    <w:rsid w:val="007329B8"/>
    <w:rsid w:val="0073311D"/>
    <w:rsid w:val="0073316B"/>
    <w:rsid w:val="00733201"/>
    <w:rsid w:val="00733AFA"/>
    <w:rsid w:val="00733C9B"/>
    <w:rsid w:val="007344AD"/>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A16"/>
    <w:rsid w:val="007604AE"/>
    <w:rsid w:val="00760975"/>
    <w:rsid w:val="00760B5C"/>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E84"/>
    <w:rsid w:val="00784FFD"/>
    <w:rsid w:val="00785F93"/>
    <w:rsid w:val="0078792B"/>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1EF0"/>
    <w:rsid w:val="007D2F16"/>
    <w:rsid w:val="007D3323"/>
    <w:rsid w:val="007D46EE"/>
    <w:rsid w:val="007D4AF8"/>
    <w:rsid w:val="007D5207"/>
    <w:rsid w:val="007D5D99"/>
    <w:rsid w:val="007D6153"/>
    <w:rsid w:val="007D6E67"/>
    <w:rsid w:val="007D7CE5"/>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784"/>
    <w:rsid w:val="007E5A70"/>
    <w:rsid w:val="007E5B38"/>
    <w:rsid w:val="007E6823"/>
    <w:rsid w:val="007E6B35"/>
    <w:rsid w:val="007E6C12"/>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FE"/>
    <w:rsid w:val="0082396C"/>
    <w:rsid w:val="00823A9D"/>
    <w:rsid w:val="00823FFC"/>
    <w:rsid w:val="008248C4"/>
    <w:rsid w:val="008249AA"/>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91E"/>
    <w:rsid w:val="00831DEC"/>
    <w:rsid w:val="0083228F"/>
    <w:rsid w:val="008327F9"/>
    <w:rsid w:val="00832B33"/>
    <w:rsid w:val="00832B9F"/>
    <w:rsid w:val="00832EA2"/>
    <w:rsid w:val="0083382A"/>
    <w:rsid w:val="008341AE"/>
    <w:rsid w:val="00834907"/>
    <w:rsid w:val="00834A66"/>
    <w:rsid w:val="00834B5A"/>
    <w:rsid w:val="0083609F"/>
    <w:rsid w:val="00837D90"/>
    <w:rsid w:val="00837F74"/>
    <w:rsid w:val="0084062F"/>
    <w:rsid w:val="008408A2"/>
    <w:rsid w:val="00840E5D"/>
    <w:rsid w:val="00841116"/>
    <w:rsid w:val="0084119C"/>
    <w:rsid w:val="008411C3"/>
    <w:rsid w:val="00841DBE"/>
    <w:rsid w:val="00841F6C"/>
    <w:rsid w:val="00841FA6"/>
    <w:rsid w:val="00842054"/>
    <w:rsid w:val="0084424D"/>
    <w:rsid w:val="00844BEF"/>
    <w:rsid w:val="00844E7D"/>
    <w:rsid w:val="00846071"/>
    <w:rsid w:val="00846558"/>
    <w:rsid w:val="0084659A"/>
    <w:rsid w:val="00846F23"/>
    <w:rsid w:val="00847415"/>
    <w:rsid w:val="0084741E"/>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3F7"/>
    <w:rsid w:val="00857B7F"/>
    <w:rsid w:val="00857C19"/>
    <w:rsid w:val="0086043A"/>
    <w:rsid w:val="00860611"/>
    <w:rsid w:val="008608F6"/>
    <w:rsid w:val="00860C4A"/>
    <w:rsid w:val="00861111"/>
    <w:rsid w:val="008611FA"/>
    <w:rsid w:val="0086194F"/>
    <w:rsid w:val="00861B6E"/>
    <w:rsid w:val="0086204B"/>
    <w:rsid w:val="00862926"/>
    <w:rsid w:val="00862F73"/>
    <w:rsid w:val="00862F77"/>
    <w:rsid w:val="00863329"/>
    <w:rsid w:val="00863982"/>
    <w:rsid w:val="00863F06"/>
    <w:rsid w:val="00867B14"/>
    <w:rsid w:val="00867B80"/>
    <w:rsid w:val="008701BA"/>
    <w:rsid w:val="00870EF5"/>
    <w:rsid w:val="0087175A"/>
    <w:rsid w:val="0087210E"/>
    <w:rsid w:val="0087212E"/>
    <w:rsid w:val="008725B4"/>
    <w:rsid w:val="00872A46"/>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5FCB"/>
    <w:rsid w:val="00896031"/>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698"/>
    <w:rsid w:val="008B7300"/>
    <w:rsid w:val="008C0858"/>
    <w:rsid w:val="008C0E70"/>
    <w:rsid w:val="008C1506"/>
    <w:rsid w:val="008C212D"/>
    <w:rsid w:val="008C258C"/>
    <w:rsid w:val="008C2707"/>
    <w:rsid w:val="008C33BB"/>
    <w:rsid w:val="008C3D20"/>
    <w:rsid w:val="008C3D2D"/>
    <w:rsid w:val="008C3EB2"/>
    <w:rsid w:val="008C4FF1"/>
    <w:rsid w:val="008C507A"/>
    <w:rsid w:val="008C50C3"/>
    <w:rsid w:val="008C5395"/>
    <w:rsid w:val="008C5973"/>
    <w:rsid w:val="008C5E40"/>
    <w:rsid w:val="008C5FA3"/>
    <w:rsid w:val="008C6038"/>
    <w:rsid w:val="008C7410"/>
    <w:rsid w:val="008D043E"/>
    <w:rsid w:val="008D0791"/>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D43"/>
    <w:rsid w:val="0090561E"/>
    <w:rsid w:val="009056C9"/>
    <w:rsid w:val="00906440"/>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F61"/>
    <w:rsid w:val="00925037"/>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C07"/>
    <w:rsid w:val="00934E1F"/>
    <w:rsid w:val="0093593F"/>
    <w:rsid w:val="0093615E"/>
    <w:rsid w:val="009365C0"/>
    <w:rsid w:val="0093677F"/>
    <w:rsid w:val="009367D2"/>
    <w:rsid w:val="00936DCF"/>
    <w:rsid w:val="00936FA1"/>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3536"/>
    <w:rsid w:val="00953EDC"/>
    <w:rsid w:val="009547A0"/>
    <w:rsid w:val="009550F9"/>
    <w:rsid w:val="009551B3"/>
    <w:rsid w:val="009556AB"/>
    <w:rsid w:val="00956E50"/>
    <w:rsid w:val="00957099"/>
    <w:rsid w:val="00957AA8"/>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5FBA"/>
    <w:rsid w:val="00996483"/>
    <w:rsid w:val="00996E13"/>
    <w:rsid w:val="009A0241"/>
    <w:rsid w:val="009A1188"/>
    <w:rsid w:val="009A19C6"/>
    <w:rsid w:val="009A1DAC"/>
    <w:rsid w:val="009A1ED9"/>
    <w:rsid w:val="009A1FA6"/>
    <w:rsid w:val="009A2C38"/>
    <w:rsid w:val="009A2D27"/>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C03F5"/>
    <w:rsid w:val="009C082F"/>
    <w:rsid w:val="009C10F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C57"/>
    <w:rsid w:val="009F24AF"/>
    <w:rsid w:val="009F24D3"/>
    <w:rsid w:val="009F2957"/>
    <w:rsid w:val="009F2AD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7285"/>
    <w:rsid w:val="009F750C"/>
    <w:rsid w:val="009F7742"/>
    <w:rsid w:val="009F7CEA"/>
    <w:rsid w:val="009F7DCB"/>
    <w:rsid w:val="00A007F2"/>
    <w:rsid w:val="00A01490"/>
    <w:rsid w:val="00A014F6"/>
    <w:rsid w:val="00A0182A"/>
    <w:rsid w:val="00A01915"/>
    <w:rsid w:val="00A02532"/>
    <w:rsid w:val="00A031D8"/>
    <w:rsid w:val="00A038E1"/>
    <w:rsid w:val="00A03ED3"/>
    <w:rsid w:val="00A04628"/>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207B"/>
    <w:rsid w:val="00A12187"/>
    <w:rsid w:val="00A1221C"/>
    <w:rsid w:val="00A12395"/>
    <w:rsid w:val="00A13C23"/>
    <w:rsid w:val="00A14261"/>
    <w:rsid w:val="00A142C2"/>
    <w:rsid w:val="00A14640"/>
    <w:rsid w:val="00A1469A"/>
    <w:rsid w:val="00A14B9E"/>
    <w:rsid w:val="00A1515F"/>
    <w:rsid w:val="00A151DB"/>
    <w:rsid w:val="00A15298"/>
    <w:rsid w:val="00A15A99"/>
    <w:rsid w:val="00A15F21"/>
    <w:rsid w:val="00A16A76"/>
    <w:rsid w:val="00A16F98"/>
    <w:rsid w:val="00A17FD2"/>
    <w:rsid w:val="00A20554"/>
    <w:rsid w:val="00A20EFA"/>
    <w:rsid w:val="00A212A0"/>
    <w:rsid w:val="00A21AA3"/>
    <w:rsid w:val="00A21D17"/>
    <w:rsid w:val="00A2210F"/>
    <w:rsid w:val="00A22648"/>
    <w:rsid w:val="00A22EBE"/>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6E6"/>
    <w:rsid w:val="00A35832"/>
    <w:rsid w:val="00A35FBB"/>
    <w:rsid w:val="00A37994"/>
    <w:rsid w:val="00A37A3E"/>
    <w:rsid w:val="00A40407"/>
    <w:rsid w:val="00A41AC8"/>
    <w:rsid w:val="00A41ADF"/>
    <w:rsid w:val="00A42521"/>
    <w:rsid w:val="00A42615"/>
    <w:rsid w:val="00A42636"/>
    <w:rsid w:val="00A439A3"/>
    <w:rsid w:val="00A43B15"/>
    <w:rsid w:val="00A43F7A"/>
    <w:rsid w:val="00A4565C"/>
    <w:rsid w:val="00A45D8B"/>
    <w:rsid w:val="00A4633D"/>
    <w:rsid w:val="00A465B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81E"/>
    <w:rsid w:val="00A959D9"/>
    <w:rsid w:val="00A959DF"/>
    <w:rsid w:val="00A95D54"/>
    <w:rsid w:val="00A96A41"/>
    <w:rsid w:val="00A96D07"/>
    <w:rsid w:val="00AA0245"/>
    <w:rsid w:val="00AA02FB"/>
    <w:rsid w:val="00AA08B1"/>
    <w:rsid w:val="00AA0C4B"/>
    <w:rsid w:val="00AA104D"/>
    <w:rsid w:val="00AA1831"/>
    <w:rsid w:val="00AA1C7C"/>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26F1"/>
    <w:rsid w:val="00AD30A6"/>
    <w:rsid w:val="00AD40B6"/>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C16"/>
    <w:rsid w:val="00AE1F89"/>
    <w:rsid w:val="00AE2713"/>
    <w:rsid w:val="00AE2CE4"/>
    <w:rsid w:val="00AE2DA9"/>
    <w:rsid w:val="00AE3113"/>
    <w:rsid w:val="00AE3298"/>
    <w:rsid w:val="00AE3B24"/>
    <w:rsid w:val="00AE4078"/>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5287"/>
    <w:rsid w:val="00AF5478"/>
    <w:rsid w:val="00AF5738"/>
    <w:rsid w:val="00AF5948"/>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351"/>
    <w:rsid w:val="00B32D14"/>
    <w:rsid w:val="00B333EE"/>
    <w:rsid w:val="00B341A1"/>
    <w:rsid w:val="00B34A55"/>
    <w:rsid w:val="00B34AE7"/>
    <w:rsid w:val="00B34C46"/>
    <w:rsid w:val="00B34D9D"/>
    <w:rsid w:val="00B35242"/>
    <w:rsid w:val="00B355DE"/>
    <w:rsid w:val="00B367BC"/>
    <w:rsid w:val="00B36B39"/>
    <w:rsid w:val="00B37C6B"/>
    <w:rsid w:val="00B402C6"/>
    <w:rsid w:val="00B40906"/>
    <w:rsid w:val="00B40E06"/>
    <w:rsid w:val="00B40F92"/>
    <w:rsid w:val="00B41597"/>
    <w:rsid w:val="00B4220F"/>
    <w:rsid w:val="00B42FE2"/>
    <w:rsid w:val="00B432BD"/>
    <w:rsid w:val="00B43453"/>
    <w:rsid w:val="00B434C0"/>
    <w:rsid w:val="00B438DE"/>
    <w:rsid w:val="00B43B86"/>
    <w:rsid w:val="00B43D82"/>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B24"/>
    <w:rsid w:val="00B61244"/>
    <w:rsid w:val="00B61456"/>
    <w:rsid w:val="00B61ADD"/>
    <w:rsid w:val="00B61B39"/>
    <w:rsid w:val="00B61EDF"/>
    <w:rsid w:val="00B61F8F"/>
    <w:rsid w:val="00B62104"/>
    <w:rsid w:val="00B62818"/>
    <w:rsid w:val="00B636A0"/>
    <w:rsid w:val="00B63907"/>
    <w:rsid w:val="00B63AD4"/>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77"/>
    <w:rsid w:val="00B96DA0"/>
    <w:rsid w:val="00B96FE2"/>
    <w:rsid w:val="00B97468"/>
    <w:rsid w:val="00BA02FD"/>
    <w:rsid w:val="00BA1317"/>
    <w:rsid w:val="00BA2042"/>
    <w:rsid w:val="00BA20A7"/>
    <w:rsid w:val="00BA23FA"/>
    <w:rsid w:val="00BA3382"/>
    <w:rsid w:val="00BA5099"/>
    <w:rsid w:val="00BA59BB"/>
    <w:rsid w:val="00BA59DE"/>
    <w:rsid w:val="00BA5CA9"/>
    <w:rsid w:val="00BA5F12"/>
    <w:rsid w:val="00BA62B9"/>
    <w:rsid w:val="00BA720C"/>
    <w:rsid w:val="00BA7423"/>
    <w:rsid w:val="00BA79D3"/>
    <w:rsid w:val="00BA7A73"/>
    <w:rsid w:val="00BB0A08"/>
    <w:rsid w:val="00BB1748"/>
    <w:rsid w:val="00BB2008"/>
    <w:rsid w:val="00BB28A8"/>
    <w:rsid w:val="00BB3443"/>
    <w:rsid w:val="00BB3A59"/>
    <w:rsid w:val="00BB4694"/>
    <w:rsid w:val="00BB487A"/>
    <w:rsid w:val="00BB4FAA"/>
    <w:rsid w:val="00BB5C36"/>
    <w:rsid w:val="00BB619B"/>
    <w:rsid w:val="00BC0564"/>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A8D"/>
    <w:rsid w:val="00BD3F90"/>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60B4"/>
    <w:rsid w:val="00BE6BED"/>
    <w:rsid w:val="00BE6F8A"/>
    <w:rsid w:val="00BE751E"/>
    <w:rsid w:val="00BE7EB3"/>
    <w:rsid w:val="00BF0D0E"/>
    <w:rsid w:val="00BF0E5F"/>
    <w:rsid w:val="00BF1157"/>
    <w:rsid w:val="00BF1B6B"/>
    <w:rsid w:val="00BF226B"/>
    <w:rsid w:val="00BF290B"/>
    <w:rsid w:val="00BF2968"/>
    <w:rsid w:val="00BF3010"/>
    <w:rsid w:val="00BF32A4"/>
    <w:rsid w:val="00BF3962"/>
    <w:rsid w:val="00BF3F7C"/>
    <w:rsid w:val="00BF4604"/>
    <w:rsid w:val="00BF4F32"/>
    <w:rsid w:val="00BF522B"/>
    <w:rsid w:val="00BF5458"/>
    <w:rsid w:val="00BF60DE"/>
    <w:rsid w:val="00BF6381"/>
    <w:rsid w:val="00BF71D2"/>
    <w:rsid w:val="00BF7934"/>
    <w:rsid w:val="00C004BB"/>
    <w:rsid w:val="00C00634"/>
    <w:rsid w:val="00C00AD0"/>
    <w:rsid w:val="00C00BD3"/>
    <w:rsid w:val="00C00E13"/>
    <w:rsid w:val="00C01164"/>
    <w:rsid w:val="00C012BE"/>
    <w:rsid w:val="00C01345"/>
    <w:rsid w:val="00C02C91"/>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A5B"/>
    <w:rsid w:val="00C30AA5"/>
    <w:rsid w:val="00C31CAA"/>
    <w:rsid w:val="00C326DE"/>
    <w:rsid w:val="00C326F8"/>
    <w:rsid w:val="00C32E80"/>
    <w:rsid w:val="00C33036"/>
    <w:rsid w:val="00C33E5E"/>
    <w:rsid w:val="00C34285"/>
    <w:rsid w:val="00C34BCF"/>
    <w:rsid w:val="00C351AC"/>
    <w:rsid w:val="00C35BE0"/>
    <w:rsid w:val="00C35E8E"/>
    <w:rsid w:val="00C3638C"/>
    <w:rsid w:val="00C367B1"/>
    <w:rsid w:val="00C36943"/>
    <w:rsid w:val="00C37324"/>
    <w:rsid w:val="00C37639"/>
    <w:rsid w:val="00C377D4"/>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0F40"/>
    <w:rsid w:val="00C51E97"/>
    <w:rsid w:val="00C5331D"/>
    <w:rsid w:val="00C5358E"/>
    <w:rsid w:val="00C53F41"/>
    <w:rsid w:val="00C54056"/>
    <w:rsid w:val="00C54699"/>
    <w:rsid w:val="00C54B22"/>
    <w:rsid w:val="00C55F69"/>
    <w:rsid w:val="00C563DE"/>
    <w:rsid w:val="00C5669E"/>
    <w:rsid w:val="00C56A43"/>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6B5F"/>
    <w:rsid w:val="00C678BD"/>
    <w:rsid w:val="00C6791E"/>
    <w:rsid w:val="00C67998"/>
    <w:rsid w:val="00C67B18"/>
    <w:rsid w:val="00C67C3B"/>
    <w:rsid w:val="00C70079"/>
    <w:rsid w:val="00C70508"/>
    <w:rsid w:val="00C705C6"/>
    <w:rsid w:val="00C70C08"/>
    <w:rsid w:val="00C71875"/>
    <w:rsid w:val="00C71CDE"/>
    <w:rsid w:val="00C71F22"/>
    <w:rsid w:val="00C724E6"/>
    <w:rsid w:val="00C72A43"/>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5214"/>
    <w:rsid w:val="00C86074"/>
    <w:rsid w:val="00C863BB"/>
    <w:rsid w:val="00C864DE"/>
    <w:rsid w:val="00C869CC"/>
    <w:rsid w:val="00C86A82"/>
    <w:rsid w:val="00C86CF0"/>
    <w:rsid w:val="00C873C0"/>
    <w:rsid w:val="00C87802"/>
    <w:rsid w:val="00C87A5F"/>
    <w:rsid w:val="00C9063C"/>
    <w:rsid w:val="00C906E8"/>
    <w:rsid w:val="00C9086C"/>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C35"/>
    <w:rsid w:val="00CE6EDF"/>
    <w:rsid w:val="00CE7395"/>
    <w:rsid w:val="00CE7BA6"/>
    <w:rsid w:val="00CE7F3A"/>
    <w:rsid w:val="00CF02D2"/>
    <w:rsid w:val="00CF08A7"/>
    <w:rsid w:val="00CF0BC7"/>
    <w:rsid w:val="00CF2CE1"/>
    <w:rsid w:val="00CF2F77"/>
    <w:rsid w:val="00CF31D6"/>
    <w:rsid w:val="00CF3BD1"/>
    <w:rsid w:val="00CF3F2A"/>
    <w:rsid w:val="00CF4077"/>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1D61"/>
    <w:rsid w:val="00D1239C"/>
    <w:rsid w:val="00D12C1F"/>
    <w:rsid w:val="00D12D89"/>
    <w:rsid w:val="00D12E9D"/>
    <w:rsid w:val="00D12F23"/>
    <w:rsid w:val="00D131C9"/>
    <w:rsid w:val="00D1411C"/>
    <w:rsid w:val="00D14558"/>
    <w:rsid w:val="00D158FE"/>
    <w:rsid w:val="00D15FDB"/>
    <w:rsid w:val="00D1632E"/>
    <w:rsid w:val="00D1654F"/>
    <w:rsid w:val="00D171E7"/>
    <w:rsid w:val="00D1789C"/>
    <w:rsid w:val="00D20549"/>
    <w:rsid w:val="00D206CF"/>
    <w:rsid w:val="00D20E67"/>
    <w:rsid w:val="00D21E5F"/>
    <w:rsid w:val="00D235E6"/>
    <w:rsid w:val="00D23F87"/>
    <w:rsid w:val="00D251A1"/>
    <w:rsid w:val="00D251B1"/>
    <w:rsid w:val="00D25372"/>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583E"/>
    <w:rsid w:val="00D35B76"/>
    <w:rsid w:val="00D35CBB"/>
    <w:rsid w:val="00D37391"/>
    <w:rsid w:val="00D376C7"/>
    <w:rsid w:val="00D37C1A"/>
    <w:rsid w:val="00D402D8"/>
    <w:rsid w:val="00D408D5"/>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5813"/>
    <w:rsid w:val="00D75B43"/>
    <w:rsid w:val="00D777F1"/>
    <w:rsid w:val="00D77AA2"/>
    <w:rsid w:val="00D77CF2"/>
    <w:rsid w:val="00D80CB5"/>
    <w:rsid w:val="00D81B87"/>
    <w:rsid w:val="00D81E3D"/>
    <w:rsid w:val="00D82EA1"/>
    <w:rsid w:val="00D830E2"/>
    <w:rsid w:val="00D84964"/>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34FB"/>
    <w:rsid w:val="00D94F41"/>
    <w:rsid w:val="00D94F5B"/>
    <w:rsid w:val="00D954BC"/>
    <w:rsid w:val="00D95CBC"/>
    <w:rsid w:val="00D95E94"/>
    <w:rsid w:val="00D95EEA"/>
    <w:rsid w:val="00D96A89"/>
    <w:rsid w:val="00D96FDA"/>
    <w:rsid w:val="00D971C6"/>
    <w:rsid w:val="00D975D7"/>
    <w:rsid w:val="00D977B2"/>
    <w:rsid w:val="00D97B19"/>
    <w:rsid w:val="00DA039B"/>
    <w:rsid w:val="00DA16C2"/>
    <w:rsid w:val="00DA1D4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755C"/>
    <w:rsid w:val="00DB0867"/>
    <w:rsid w:val="00DB0A8D"/>
    <w:rsid w:val="00DB0CC0"/>
    <w:rsid w:val="00DB0DC8"/>
    <w:rsid w:val="00DB0E9F"/>
    <w:rsid w:val="00DB10F6"/>
    <w:rsid w:val="00DB1484"/>
    <w:rsid w:val="00DB1605"/>
    <w:rsid w:val="00DB2095"/>
    <w:rsid w:val="00DB2B25"/>
    <w:rsid w:val="00DB37BD"/>
    <w:rsid w:val="00DB3DD9"/>
    <w:rsid w:val="00DB6B5A"/>
    <w:rsid w:val="00DB70AA"/>
    <w:rsid w:val="00DB7297"/>
    <w:rsid w:val="00DB7648"/>
    <w:rsid w:val="00DB7ABE"/>
    <w:rsid w:val="00DB7F73"/>
    <w:rsid w:val="00DC02B3"/>
    <w:rsid w:val="00DC03CC"/>
    <w:rsid w:val="00DC0AEF"/>
    <w:rsid w:val="00DC18B4"/>
    <w:rsid w:val="00DC1EA3"/>
    <w:rsid w:val="00DC2032"/>
    <w:rsid w:val="00DC227D"/>
    <w:rsid w:val="00DC276B"/>
    <w:rsid w:val="00DC27BC"/>
    <w:rsid w:val="00DC2816"/>
    <w:rsid w:val="00DC2B72"/>
    <w:rsid w:val="00DC2C42"/>
    <w:rsid w:val="00DC302C"/>
    <w:rsid w:val="00DC33BF"/>
    <w:rsid w:val="00DC425C"/>
    <w:rsid w:val="00DC4402"/>
    <w:rsid w:val="00DC44FB"/>
    <w:rsid w:val="00DC484D"/>
    <w:rsid w:val="00DC4940"/>
    <w:rsid w:val="00DC4B9A"/>
    <w:rsid w:val="00DC50EF"/>
    <w:rsid w:val="00DC52D1"/>
    <w:rsid w:val="00DC5386"/>
    <w:rsid w:val="00DC5D3B"/>
    <w:rsid w:val="00DC6442"/>
    <w:rsid w:val="00DC6C80"/>
    <w:rsid w:val="00DC745D"/>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55C"/>
    <w:rsid w:val="00E2162B"/>
    <w:rsid w:val="00E2214A"/>
    <w:rsid w:val="00E22885"/>
    <w:rsid w:val="00E22A88"/>
    <w:rsid w:val="00E22BB9"/>
    <w:rsid w:val="00E2323B"/>
    <w:rsid w:val="00E235B2"/>
    <w:rsid w:val="00E238B0"/>
    <w:rsid w:val="00E23FB9"/>
    <w:rsid w:val="00E242EE"/>
    <w:rsid w:val="00E24910"/>
    <w:rsid w:val="00E253DD"/>
    <w:rsid w:val="00E26100"/>
    <w:rsid w:val="00E26430"/>
    <w:rsid w:val="00E2656D"/>
    <w:rsid w:val="00E267B3"/>
    <w:rsid w:val="00E27A0A"/>
    <w:rsid w:val="00E311B7"/>
    <w:rsid w:val="00E3127C"/>
    <w:rsid w:val="00E31D55"/>
    <w:rsid w:val="00E32C18"/>
    <w:rsid w:val="00E32CD6"/>
    <w:rsid w:val="00E32F13"/>
    <w:rsid w:val="00E33502"/>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D26"/>
    <w:rsid w:val="00E43FA4"/>
    <w:rsid w:val="00E4416C"/>
    <w:rsid w:val="00E441BB"/>
    <w:rsid w:val="00E44B16"/>
    <w:rsid w:val="00E45B01"/>
    <w:rsid w:val="00E47AAE"/>
    <w:rsid w:val="00E47DFF"/>
    <w:rsid w:val="00E47E38"/>
    <w:rsid w:val="00E50E12"/>
    <w:rsid w:val="00E50E54"/>
    <w:rsid w:val="00E51669"/>
    <w:rsid w:val="00E51BD7"/>
    <w:rsid w:val="00E51C0A"/>
    <w:rsid w:val="00E51DCF"/>
    <w:rsid w:val="00E5250D"/>
    <w:rsid w:val="00E5268C"/>
    <w:rsid w:val="00E53C49"/>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E69"/>
    <w:rsid w:val="00E6294C"/>
    <w:rsid w:val="00E62C09"/>
    <w:rsid w:val="00E62E2C"/>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E07"/>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C4D"/>
    <w:rsid w:val="00E84F0E"/>
    <w:rsid w:val="00E85030"/>
    <w:rsid w:val="00E85304"/>
    <w:rsid w:val="00E85C6C"/>
    <w:rsid w:val="00E85D5C"/>
    <w:rsid w:val="00E85F18"/>
    <w:rsid w:val="00E864BD"/>
    <w:rsid w:val="00E8684A"/>
    <w:rsid w:val="00E86B2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80D"/>
    <w:rsid w:val="00EB1B32"/>
    <w:rsid w:val="00EB26A3"/>
    <w:rsid w:val="00EB2E88"/>
    <w:rsid w:val="00EB31B4"/>
    <w:rsid w:val="00EB31E0"/>
    <w:rsid w:val="00EB3554"/>
    <w:rsid w:val="00EB3B9A"/>
    <w:rsid w:val="00EB3ED3"/>
    <w:rsid w:val="00EB41F2"/>
    <w:rsid w:val="00EB4474"/>
    <w:rsid w:val="00EB4510"/>
    <w:rsid w:val="00EB6009"/>
    <w:rsid w:val="00EB6110"/>
    <w:rsid w:val="00EB6A09"/>
    <w:rsid w:val="00EB7AAF"/>
    <w:rsid w:val="00EB7ACC"/>
    <w:rsid w:val="00EC01D1"/>
    <w:rsid w:val="00EC02C6"/>
    <w:rsid w:val="00EC05B3"/>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AA9"/>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43B7"/>
    <w:rsid w:val="00F04D0C"/>
    <w:rsid w:val="00F0617F"/>
    <w:rsid w:val="00F06747"/>
    <w:rsid w:val="00F0762C"/>
    <w:rsid w:val="00F07EED"/>
    <w:rsid w:val="00F10070"/>
    <w:rsid w:val="00F10EBF"/>
    <w:rsid w:val="00F11BD5"/>
    <w:rsid w:val="00F1233C"/>
    <w:rsid w:val="00F12ACC"/>
    <w:rsid w:val="00F12DB6"/>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30BF4"/>
    <w:rsid w:val="00F30E9D"/>
    <w:rsid w:val="00F31DB2"/>
    <w:rsid w:val="00F3296C"/>
    <w:rsid w:val="00F33220"/>
    <w:rsid w:val="00F33882"/>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65BF"/>
    <w:rsid w:val="00F46658"/>
    <w:rsid w:val="00F46705"/>
    <w:rsid w:val="00F46FE0"/>
    <w:rsid w:val="00F4706D"/>
    <w:rsid w:val="00F471A4"/>
    <w:rsid w:val="00F474B5"/>
    <w:rsid w:val="00F47A01"/>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E88"/>
    <w:rsid w:val="00F64F68"/>
    <w:rsid w:val="00F650F7"/>
    <w:rsid w:val="00F65E82"/>
    <w:rsid w:val="00F6600E"/>
    <w:rsid w:val="00F66208"/>
    <w:rsid w:val="00F66935"/>
    <w:rsid w:val="00F6694E"/>
    <w:rsid w:val="00F66E8D"/>
    <w:rsid w:val="00F6713B"/>
    <w:rsid w:val="00F675B9"/>
    <w:rsid w:val="00F679E1"/>
    <w:rsid w:val="00F67D2E"/>
    <w:rsid w:val="00F704AE"/>
    <w:rsid w:val="00F70908"/>
    <w:rsid w:val="00F709A3"/>
    <w:rsid w:val="00F71D28"/>
    <w:rsid w:val="00F7302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5A25"/>
    <w:rsid w:val="00F95BC2"/>
    <w:rsid w:val="00F95C1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6F9"/>
    <w:rsid w:val="00FA37EC"/>
    <w:rsid w:val="00FA3984"/>
    <w:rsid w:val="00FA5531"/>
    <w:rsid w:val="00FA59CA"/>
    <w:rsid w:val="00FA6261"/>
    <w:rsid w:val="00FA69BF"/>
    <w:rsid w:val="00FA6E77"/>
    <w:rsid w:val="00FB0949"/>
    <w:rsid w:val="00FB0F60"/>
    <w:rsid w:val="00FB0FB7"/>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3CF"/>
    <w:rsid w:val="00FD3B47"/>
    <w:rsid w:val="00FD3FD3"/>
    <w:rsid w:val="00FD4013"/>
    <w:rsid w:val="00FD527F"/>
    <w:rsid w:val="00FD55FC"/>
    <w:rsid w:val="00FD5822"/>
    <w:rsid w:val="00FD5E51"/>
    <w:rsid w:val="00FD79AF"/>
    <w:rsid w:val="00FE00D4"/>
    <w:rsid w:val="00FE1B7A"/>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3C212E4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8"/>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uiPriority w:val="0"/>
  </w:style>
  <w:style w:type="character" w:styleId="24">
    <w:name w:val="Hyperlink"/>
    <w:qFormat/>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qFormat/>
    <w:uiPriority w:val="0"/>
    <w:rPr>
      <w:rFonts w:ascii="Arial" w:hAnsi="Arial"/>
      <w:sz w:val="32"/>
      <w:szCs w:val="32"/>
      <w:lang w:val="en-GB" w:eastAsia="zh-CN"/>
    </w:rPr>
  </w:style>
  <w:style w:type="character" w:customStyle="1" w:styleId="30">
    <w:name w:val="Heading 3 Char"/>
    <w:link w:val="4"/>
    <w:uiPriority w:val="0"/>
    <w:rPr>
      <w:rFonts w:ascii="Arial" w:hAnsi="Arial"/>
      <w:sz w:val="28"/>
      <w:szCs w:val="28"/>
      <w:lang w:val="en-GB" w:eastAsia="zh-CN"/>
    </w:rPr>
  </w:style>
  <w:style w:type="character" w:customStyle="1" w:styleId="31">
    <w:name w:val="Heading 4 Char"/>
    <w:link w:val="5"/>
    <w:uiPriority w:val="0"/>
    <w:rPr>
      <w:rFonts w:ascii="Arial" w:hAnsi="Arial"/>
      <w:lang w:val="en-GB" w:eastAsia="zh-CN"/>
    </w:rPr>
  </w:style>
  <w:style w:type="character" w:customStyle="1" w:styleId="32">
    <w:name w:val="Heading 5 Char"/>
    <w:link w:val="6"/>
    <w:uiPriority w:val="0"/>
    <w:rPr>
      <w:rFonts w:ascii="Arial" w:hAnsi="Arial"/>
      <w:sz w:val="22"/>
      <w:szCs w:val="22"/>
      <w:lang w:val="en-GB" w:eastAsia="zh-CN"/>
    </w:rPr>
  </w:style>
  <w:style w:type="character" w:customStyle="1" w:styleId="33">
    <w:name w:val="Heading 6 Char"/>
    <w:link w:val="7"/>
    <w:uiPriority w:val="0"/>
    <w:rPr>
      <w:rFonts w:ascii="Arial" w:hAnsi="Arial"/>
      <w:sz w:val="22"/>
      <w:lang w:val="en-GB" w:eastAsia="zh-CN"/>
    </w:rPr>
  </w:style>
  <w:style w:type="character" w:customStyle="1" w:styleId="34">
    <w:name w:val="Heading 7 Char"/>
    <w:link w:val="8"/>
    <w:uiPriority w:val="0"/>
    <w:rPr>
      <w:rFonts w:ascii="Arial" w:hAnsi="Arial"/>
      <w:sz w:val="22"/>
      <w:lang w:val="en-GB" w:eastAsia="zh-CN"/>
    </w:rPr>
  </w:style>
  <w:style w:type="character" w:customStyle="1" w:styleId="35">
    <w:name w:val="Heading 8 Char"/>
    <w:link w:val="9"/>
    <w:uiPriority w:val="0"/>
    <w:rPr>
      <w:rFonts w:ascii="Arial" w:hAnsi="Arial"/>
      <w:sz w:val="22"/>
      <w:lang w:val="en-GB" w:eastAsia="zh-CN"/>
    </w:rPr>
  </w:style>
  <w:style w:type="character" w:customStyle="1" w:styleId="36">
    <w:name w:val="Heading 9 Char"/>
    <w:link w:val="10"/>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uiPriority w:val="0"/>
    <w:rPr>
      <w:rFonts w:ascii="Arial" w:hAnsi="Arial" w:eastAsia="宋体" w:cs="Arial"/>
      <w:b/>
      <w:bCs/>
      <w:i/>
      <w:iCs/>
      <w:kern w:val="0"/>
      <w:sz w:val="18"/>
      <w:szCs w:val="18"/>
    </w:rPr>
  </w:style>
  <w:style w:type="character" w:customStyle="1" w:styleId="39">
    <w:name w:val="3GPP_Header Char"/>
    <w:link w:val="37"/>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uiPriority w:val="99"/>
    <w:rPr>
      <w:rFonts w:ascii="Times New Roman" w:hAnsi="Times New Roman"/>
      <w:sz w:val="22"/>
      <w:lang w:val="en-GB"/>
    </w:rPr>
  </w:style>
  <w:style w:type="character" w:customStyle="1" w:styleId="48">
    <w:name w:val="Comment Subject Char"/>
    <w:link w:val="12"/>
    <w:semiHidden/>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qFormat/>
    <w:uiPriority w:val="0"/>
    <w:pPr>
      <w:ind w:left="1985"/>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F79F4-4188-4245-ACD0-D78E0B40E02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778</Words>
  <Characters>4437</Characters>
  <Lines>36</Lines>
  <Paragraphs>10</Paragraphs>
  <TotalTime>0</TotalTime>
  <ScaleCrop>false</ScaleCrop>
  <LinksUpToDate>false</LinksUpToDate>
  <CharactersWithSpaces>5205</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2020-04-10T05:13:18Z</dcterms:modified>
  <cp:revision>3796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